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_first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40"/>
          <w:szCs w:val="40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40"/>
          <w:szCs w:val="40"/>
          <w:lang w:val="en-GB" w:eastAsia="en-GB" w:bidi="en-GB"/>
        </w:rPr>
        <w:t xml:space="preserve">Organisation Development &amp; Training Administrator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Job grade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Level 1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OD &amp; Training Advisor 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People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Organisation Development &amp; Training 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FTC – 1yr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Regent’s Park / Blended (occasional travel to Whipsnade Zoo)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612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N/A</w:t>
            </w:r>
          </w:p>
        </w:tc>
        <w:tc>
          <w:tcPr>
            <w:tcW w:w="1612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N/A</w:t>
            </w:r>
          </w:p>
        </w:tc>
        <w:tc>
          <w:tcPr>
            <w:tcW w:w="1612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purpose of this role is to provide efficient and effective administration support to the Organisation Development and Training (OD&amp;T) team. The OD&amp;T administrator will support the OD&amp;T Advisor to manage the online learning platform and training mailbox, liaise with the finance team to set up and process invoices, and support the OD&amp;T advisor and senior business partner with training programmes, EDI and wellbeing events as required.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ideal candidate will have a good understanding of L&amp;D principles and practices, as well as excellent administrative skills. They will be able to work independently and as part of a team, and they will have excellent communication and interpersonal skills.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Provide a credible and professional customer service approach to our internal communications with staff by managing the OD&amp;T admin email inbox.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Participate in preparing OD&amp;T resources and schedules, manage the booking process for training courses, and provide excellent administrative support to the OD&amp;T advisor and Senior OD Business Partner.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Responsible for the administration of the learning management system - input data timeously and accurately, set up events, produce reports, maintain user accounts, extract data, mark attendance, and ensure all information is up to date.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8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Assist with EDI and wellbeing initiatives, including producing newsletters, coordinating an events calendar, and supporting staff networks as required.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Monitor training expenditure, set up new vendors on the system, and ensure purchase orders and invoices are processed timeously.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Analyse evaluation and course data, producing regular reporting on learning &amp; development interventions and training.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Deliver high-quality written content across the internal communications platform.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Provide operational support for virtual learning programmes, including setting up and managing online sessions, configuring breakout rooms, preparing and facilitating digital collaboration tools if necessary to ensure a smooth and engaging learner experience.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 Provide support to the OD&amp;T advisor and the senior business partner, as and when required.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15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Previous experience working in a HR or L&amp;OD support or administration role.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240" w:line="278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Proficient in Microsoft Office applications, including Word, Excel, PowerPoint, and Outlook.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Desirable 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i/>
                <w:iCs/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Previous experience of managing a Learning Management System (LMS).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i/>
                <w:iCs/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working in a service-oriented, customer-facing role while managing multiple priorities.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Advanced communication skills, both written and verbal.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accurately input, update, and organise data using spreadsheets and information from multiple sources.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Demonstratable experience in providing excellent customer service with stakeholders of all levels.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Excellent organisational skills and strong attention to detail.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Problem solving skills with ability to use own initiative.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Desirable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Knowledge of learning and development principles and practices.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task management skills, with the ability to meet deadlines and adapt under pressure.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This post is a blended role for office and home working, with 2 days/week on site; some travel to Zoo sites will be required.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To comply with and promote Health and Safety policies and procedures.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first" r:id="rId00006"/>
      <w:type w:val="continuous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-628015</wp:posOffset>
          </wp:positionH>
          <wp:positionV relativeFrom="paragraph">
            <wp:posOffset>0</wp:posOffset>
          </wp:positionV>
          <wp:extent cx="1417320" cy="708660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4173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p12" w:customStyle="1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 w:customStyle="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 w:customStyle="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tl w:val="off"/>
      <w:lang w:val="en-GB" w:eastAsia="en-GB" w:bidi="en-GB"/>
    </w:rPr>
  </w:style>
  <w:style w:type="character" w:styleId="Comment Subject Char" w:customStyle="1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eading 4 Char" w:customStyle="1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_first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5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Proforma</dc:title>
  <dc:creator>Charlotte Cowan</dc:creator>
  <dcterms:created xsi:type="dcterms:W3CDTF">2025-12-22T03:56:00Z</dcterms:created>
</cp:coreProperties>
</file>