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u w:val="none"/>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44"/>
          <w:szCs w:val="4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44"/>
          <w:szCs w:val="44"/>
          <w:lang w:val="en-GB" w:eastAsia="en-GB" w:bidi="en-GB"/>
        </w:rPr>
      </w:pPr>
      <w:r>
        <w:rPr>
          <w:rFonts w:ascii="Calibri" w:hAnsi="Calibri" w:eastAsia="Calibri" w:cs="Calibri"/>
          <w:b/>
          <w:bCs/>
          <w:color w:val="006600"/>
          <w:sz w:val="44"/>
          <w:szCs w:val="44"/>
          <w:lang w:val="en-GB" w:eastAsia="en-GB" w:bidi="en-GB"/>
        </w:rPr>
        <w:t xml:space="preserve">Facilities Estates - Contractor &amp; H&amp;S Co-ordinator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3"/>
        <w:gridCol w:w="2835"/>
        <w:gridCol w:w="1276"/>
        <w:gridCol w:w="3492"/>
      </w:tblGrid>
      <w:tr>
        <w:trPr>
          <w:trHeight w:val="596" w:hRule="atLeast"/>
        </w:trP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Job grade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Organisational Level 3</w:t>
            </w: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Reports to</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Head of Facilities &amp; Estate </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Directorate</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Business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Function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Contractor &amp; H&amp;S Co-ordinator Estates</w:t>
            </w:r>
          </w:p>
        </w:tc>
      </w:tr>
      <w:tr>
        <w:tc>
          <w:tcPr>
            <w:tcW w:w="1413"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Contract </w:t>
            </w:r>
          </w:p>
        </w:tc>
        <w:tc>
          <w:tcPr>
            <w:tcW w:w="2835"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Permanent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lang w:val="en-GB" w:eastAsia="en-GB" w:bidi="en-GB"/>
              </w:rPr>
            </w:pPr>
          </w:p>
        </w:tc>
        <w:tc>
          <w:tcPr>
            <w:tcW w:w="1276"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Location</w:t>
            </w:r>
          </w:p>
        </w:tc>
        <w:tc>
          <w:tcPr>
            <w:tcW w:w="349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Regent’s Park / Whipsnade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Responsibility for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11"/>
        <w:gridCol w:w="2822"/>
        <w:gridCol w:w="1612"/>
        <w:gridCol w:w="3324"/>
      </w:tblGrid>
      <w:tr>
        <w:trPr>
          <w:trHeight w:val="596" w:hRule="atLeast"/>
        </w:trP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sz w:val="22"/>
                <w:szCs w:val="22"/>
                <w:lang w:val="en-GB" w:eastAsia="en-GB" w:bidi="en-GB"/>
              </w:rPr>
            </w:pPr>
            <w:r>
              <w:rPr>
                <w:rFonts w:ascii="Calibri" w:hAnsi="Calibri" w:eastAsia="Calibri" w:cs="Calibri"/>
                <w:b/>
                <w:bCs/>
                <w:color w:val="FFFFFF"/>
                <w:lang w:val="en-GB" w:eastAsia="en-GB" w:bidi="en-GB"/>
              </w:rPr>
              <w:t xml:space="preserve">Direct line reports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c>
          <w:tcPr>
            <w:tcW w:w="1612" w:type="dxa"/>
            <w:vMerge w:val="restart"/>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Responsibility for other resources</w:t>
            </w:r>
          </w:p>
        </w:tc>
        <w:tc>
          <w:tcPr>
            <w:tcW w:w="3324"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r>
      <w:tr>
        <w:tc>
          <w:tcPr>
            <w:tcW w:w="1411" w:type="dxa"/>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color w:val="FFFFFF"/>
                <w:lang w:val="en-GB" w:eastAsia="en-GB" w:bidi="en-GB"/>
              </w:rPr>
            </w:pPr>
            <w:r>
              <w:rPr>
                <w:rFonts w:ascii="Calibri" w:hAnsi="Calibri" w:eastAsia="Calibri" w:cs="Calibri"/>
                <w:b/>
                <w:bCs/>
                <w:color w:val="FFFFFF"/>
                <w:lang w:val="en-GB" w:eastAsia="en-GB" w:bidi="en-GB"/>
              </w:rPr>
              <w:t xml:space="preserve">Financial resources</w:t>
            </w:r>
          </w:p>
        </w:tc>
        <w:tc>
          <w:tcPr>
            <w:tcW w:w="2822"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b/>
                <w:bCs/>
                <w:lang w:val="en-GB" w:eastAsia="en-GB" w:bidi="en-GB"/>
              </w:rPr>
            </w:pPr>
            <w:r>
              <w:rPr>
                <w:rFonts w:ascii="Calibri" w:hAnsi="Calibri" w:eastAsia="Calibri" w:cs="Calibri"/>
                <w:b/>
                <w:bCs/>
                <w:lang w:val="en-GB" w:eastAsia="en-GB" w:bidi="en-GB"/>
              </w:rPr>
              <w:t xml:space="preserve">N/A</w:t>
            </w:r>
          </w:p>
        </w:tc>
        <w:tc>
          <w:tcPr>
            <w:tcW w:w="1612" w:type="dxa"/>
            <w:vMerge w:val="continue"/>
            <w:shd w:val="clear" w:color="auto" w:fill="006600"/>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c>
          <w:tcPr>
            <w:tcW w:w="3324"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Our vision and 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b/>
          <w:bCs/>
          <w:color w:val="006600"/>
          <w:sz w:val="32"/>
          <w:szCs w:val="32"/>
          <w:lang w:val="en-GB" w:eastAsia="en-GB" w:bidi="en-GB"/>
        </w:rPr>
        <w:t xml:space="preserve">Purpose of the role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0000"/>
          <w:sz w:val="22"/>
          <w:szCs w:val="22"/>
          <w:lang w:val="en-GB" w:eastAsia="en-GB" w:bidi="en-GB"/>
        </w:rPr>
      </w:pPr>
      <w:r>
        <w:rPr>
          <w:rFonts w:ascii="Calibri" w:hAnsi="Calibri" w:eastAsia="Calibri" w:cs="Calibri"/>
          <w:sz w:val="22"/>
          <w:szCs w:val="22"/>
          <w:lang w:val="en-GB" w:eastAsia="en-GB" w:bidi="en-GB"/>
        </w:rPr>
        <w:t xml:space="preserve">The purpose of this role is to support the Estates and FM management in the delivery of Hard Facilities Management Services across the Regents Park / Whipsnade Zoo sites, </w:t>
      </w:r>
      <w:r>
        <w:rPr>
          <w:rFonts w:ascii="Calibri" w:hAnsi="Calibri" w:eastAsia="Calibri" w:cs="Calibri"/>
          <w:color w:val="000000"/>
          <w:sz w:val="22"/>
          <w:szCs w:val="22"/>
          <w:lang w:val="en-GB" w:eastAsia="en-GB" w:bidi="en-GB"/>
        </w:rPr>
        <w:t xml:space="preserve">In particular to co-ordinate and supervise contractor management for the Estates teams, alongside health and safety, security and environmental compliance. To maintain and administer a system of compliance checks for contractors, internal H&amp;S documentation, policy adherence and equipment at both UK sites.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post holder will work closely and  report to  the Senior FM managers, and work closely with the Facilities Management team  there will also be continual liaison with the H&amp;S team to deliver the responsibilities and activities as noted within the Main Duties and Key Responsibilities section of this document, focussing predominately on the areas of Hard Facilities Management, Asset Management, Workplace Management, and their systems of operation.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244061"/>
          <w:sz w:val="32"/>
          <w:szCs w:val="3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Provide a fully effective administration/co-ordination service to the team to ensure the team is appropriately supported to meet its departmental objectives or project goals.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Responsible person for Contractor database,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Preparation of contractor inductions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Review of estates team training records in conjunction with senior FM manager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Responsible for updating and maintaining of other contractor, H&amp;S databases and administration systems, ensuring accuracy of inputting and reports.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Support the operations team aiding and support to direct reports to ensure compliance in Contractor management and relevant H&amp;S policies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Provide occasional operational site support to the management team where required.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Support with procurement of materials and equipment for Estates team</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Support the preparation of key documents for audits inspections and monthly reports.</w:t>
      </w:r>
    </w:p>
    <w:p>
      <w:pPr>
        <w:pStyle w:val="NormalWeb"/>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Calibri" w:hAnsi="Calibri" w:eastAsia="Calibri" w:cs="Calibri"/>
          <w:color w:val="000000"/>
          <w:sz w:val="22"/>
          <w:szCs w:val="22"/>
          <w:lang w:val="en-GB" w:eastAsia="en-GB" w:bidi="en-GB"/>
        </w:rPr>
      </w:pPr>
      <w:r>
        <w:rPr>
          <w:rFonts w:ascii="Calibri" w:hAnsi="Calibri" w:eastAsia="Calibri" w:cs="Calibri"/>
          <w:color w:val="000000"/>
          <w:sz w:val="22"/>
          <w:szCs w:val="22"/>
          <w:lang w:val="en-GB" w:eastAsia="en-GB" w:bidi="en-GB"/>
        </w:rPr>
        <w:t xml:space="preserve">To comply with and promote Health and Safety policies and procedures and to undertake recommended Health and Safety training as and when necessary.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Support team with Archive storage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The duties and responsibilities described are not a comprehensive list and additional tasks.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may be assigned from time to time that are in line with the level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006600"/>
          <w:lang w:val="en-GB" w:eastAsia="en-GB" w:bidi="en-GB"/>
        </w:rPr>
      </w:pPr>
      <w:r>
        <w:rPr>
          <w:rFonts w:ascii="Calibri" w:hAnsi="Calibri" w:eastAsia="Calibri" w:cs="Calibri"/>
          <w:b/>
          <w:bCs/>
          <w:color w:val="006600"/>
          <w:sz w:val="32"/>
          <w:szCs w:val="32"/>
          <w:lang w:val="en-GB" w:eastAsia="en-GB" w:bidi="en-GB"/>
        </w:rPr>
        <w:t xml:space="preserve">Values and behaviours for people management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sz w:val="22"/>
          <w:szCs w:val="22"/>
          <w:lang w:val="en-GB" w:eastAsia="en-GB" w:bidi="en-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b/>
          <w:bCs/>
          <w:lang w:val="en-GB" w:eastAsia="en-GB" w:bidi="en-GB"/>
        </w:rPr>
      </w:pPr>
      <w:r>
        <w:rPr>
          <w:b/>
          <w:bCs/>
          <w:lang w:val="en-GB" w:eastAsia="en-GB" w:bidi="en-GB"/>
        </w:rPr>
        <w:t xml:space="preserve">Collaborative: </w:t>
      </w:r>
      <w:r>
        <w:rPr>
          <w:lang w:val="en-GB" w:eastAsia="en-GB" w:bidi="en-GB"/>
        </w:rPr>
        <w:t xml:space="preserve">the role</w:t>
      </w:r>
      <w:r>
        <w:rPr>
          <w:b/>
          <w:bCs/>
          <w:lang w:val="en-GB" w:eastAsia="en-GB" w:bidi="en-GB"/>
        </w:rPr>
        <w:t xml:space="preserve"> </w:t>
      </w:r>
      <w:r>
        <w:rPr>
          <w:lang w:val="en-GB" w:eastAsia="en-GB" w:bidi="en-GB"/>
        </w:rPr>
        <w:t xml:space="preserve">will work in an engaging environment where people feel comfortable asking for help or support and help develop the continuity of this environment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b/>
          <w:bCs/>
          <w:lang w:val="en-GB" w:eastAsia="en-GB" w:bidi="en-GB"/>
        </w:rPr>
      </w:pPr>
      <w:r>
        <w:rPr>
          <w:b/>
          <w:bCs/>
          <w:lang w:val="en-GB" w:eastAsia="en-GB" w:bidi="en-GB"/>
        </w:rPr>
        <w:t xml:space="preserve">Ethical: </w:t>
      </w:r>
      <w:r>
        <w:rPr>
          <w:lang w:val="en-GB" w:eastAsia="en-GB" w:bidi="en-GB"/>
        </w:rPr>
        <w:t xml:space="preserve">creates a culture which ensures everyone is treated fairly with dignity and respect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b/>
          <w:bCs/>
          <w:lang w:val="en-GB" w:eastAsia="en-GB" w:bidi="en-GB"/>
        </w:rPr>
      </w:pPr>
      <w:r>
        <w:rPr>
          <w:b/>
          <w:bCs/>
          <w:lang w:val="en-GB" w:eastAsia="en-GB" w:bidi="en-GB"/>
        </w:rPr>
        <w:t xml:space="preserve">Impactful: </w:t>
      </w:r>
      <w:r>
        <w:rPr>
          <w:lang w:val="en-GB" w:eastAsia="en-GB" w:bidi="en-GB"/>
        </w:rPr>
        <w:t xml:space="preserve">delivers results on time and to the agreed standards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b/>
          <w:bCs/>
          <w:lang w:val="en-GB" w:eastAsia="en-GB" w:bidi="en-GB"/>
        </w:rPr>
      </w:pPr>
      <w:r>
        <w:rPr>
          <w:b/>
          <w:bCs/>
          <w:lang w:val="en-GB" w:eastAsia="en-GB" w:bidi="en-GB"/>
        </w:rPr>
        <w:t xml:space="preserve">Inclusive:</w:t>
      </w:r>
      <w:r>
        <w:rPr>
          <w:lang w:val="en-GB" w:eastAsia="en-GB" w:bidi="en-GB"/>
        </w:rPr>
        <w:t xml:space="preserve"> The role needs to develop key relationships within the dept and with other stakeholders that show process and support decisions that promote transparency and inclusion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b/>
          <w:bCs/>
          <w:lang w:val="en-GB" w:eastAsia="en-GB" w:bidi="en-GB"/>
        </w:rPr>
      </w:pPr>
      <w:r>
        <w:rPr>
          <w:b/>
          <w:bCs/>
          <w:lang w:val="en-GB" w:eastAsia="en-GB" w:bidi="en-GB"/>
        </w:rPr>
        <w:t xml:space="preserve">Innovative: </w:t>
      </w:r>
      <w:r>
        <w:rPr>
          <w:lang w:val="en-GB" w:eastAsia="en-GB" w:bidi="en-GB"/>
        </w:rPr>
        <w:t xml:space="preserve">The role needs to be forward thinking and able to see the broader picture when planning and organising work</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b/>
          <w:bCs/>
          <w:color w:val="006600"/>
          <w:sz w:val="32"/>
          <w:szCs w:val="32"/>
          <w:lang w:val="en-GB" w:eastAsia="en-GB" w:bidi="en-GB"/>
        </w:rPr>
      </w:pPr>
      <w:r>
        <w:rPr>
          <w:b/>
          <w:bCs/>
          <w:lang w:val="en-GB" w:eastAsia="en-GB" w:bidi="en-GB"/>
        </w:rPr>
        <w:t xml:space="preserve">Inspiring: </w:t>
      </w:r>
      <w:r>
        <w:rPr>
          <w:lang w:val="en-GB" w:eastAsia="en-GB" w:bidi="en-GB"/>
        </w:rPr>
        <w:t xml:space="preserve">The person should have self-awareness and seeks feedback to better understand own style, approach, and impact on team/staff motivation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006600"/>
          <w:sz w:val="32"/>
          <w:szCs w:val="32"/>
          <w:lang w:val="en-GB" w:eastAsia="en-GB" w:bidi="en-GB"/>
        </w:rPr>
      </w:pPr>
      <w:r>
        <w:rPr>
          <w:rFonts w:ascii="Calibri" w:hAnsi="Calibri" w:eastAsia="Calibri" w:cs="Calibri"/>
          <w:b/>
          <w:bCs/>
          <w:color w:val="006600"/>
          <w:sz w:val="32"/>
          <w:szCs w:val="32"/>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color w:val="366091"/>
          <w:sz w:val="32"/>
          <w:szCs w:val="3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Experience</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rPr>
          <w:trHeight w:val="3076" w:hRule="atLeast"/>
        </w:trP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Previous experience in working and supporting large teams.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in the development and implementation of departmental processes and systems including CAFM.</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Proven experience in undertaking document and report preparation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Some experience of working in an estate or FM environment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Able to work efficiently and autonomously under pressure, Excellent communication/customer service skills, High levels of confidentiality, discretion, diplomacy, and accuracy.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 flexible, positive approach to work Professional, helpful and courteous at all times, Ability to work as part of a team.</w:t>
            </w:r>
          </w:p>
        </w:tc>
      </w:tr>
      <w:tr>
        <w:trPr>
          <w:trHeight w:val="1834" w:hRule="atLeast"/>
        </w:trP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 </w:t>
            </w:r>
          </w:p>
        </w:tc>
        <w:tc>
          <w:tcPr>
            <w:tcW w:w="7746"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Experience of working in a zoo environment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Meeting co-ordinational skills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Analytical skills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Some technical understanding of an estate’s environment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Knowledge and skills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b/>
                <w:bCs/>
                <w:i/>
                <w:iCs/>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Advanced skills in using MS office packages, specifically Excel and PowerPoint or equivalent software packages will be acceptable.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Familiarity with managing competing priorities effectively.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Demonstrable working knowledge of an CAFM system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IOSH or Preferably NEBOSH related qualification</w:t>
            </w:r>
          </w:p>
        </w:tc>
      </w:tr>
      <w:tr>
        <w:tc>
          <w:tcPr>
            <w:tcW w:w="1271"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Desirable</w:t>
            </w:r>
          </w:p>
        </w:tc>
        <w:tc>
          <w:tcPr>
            <w:tcW w:w="7746" w:type="dxa"/>
            <w:tcBorders>
              <w:bottom w:val="single" w:sz="4" w:space="0" w:color="auto"/>
            </w:tcBorders>
            <w:shd w:val="clear" w:color="auto" w:fill="auto"/>
            <w:vAlign w:val="top"/>
          </w:tcPr>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Able to demonstrate high accuracy and attention to detail with reference to written communications, whether in the form of documentation or call logging.</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Spreadsheet development </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7"/>
      </w:tblGrid>
      <w:tr>
        <w:tc>
          <w:tcPr>
            <w:tcW w:w="9017" w:type="dxa"/>
            <w:tcBorders>
              <w:top w:val="single" w:sz="4" w:space="0" w:color="auto"/>
              <w:bottom w:val="single" w:sz="4" w:space="0" w:color="auto"/>
            </w:tcBorders>
            <w:shd w:val="clear" w:color="auto" w:fill="006600"/>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color w:val="FFFFFF"/>
                <w:lang w:val="en-GB" w:eastAsia="en-GB" w:bidi="en-GB"/>
              </w:rPr>
            </w:pPr>
            <w:r>
              <w:rPr>
                <w:rFonts w:ascii="Calibri" w:hAnsi="Calibri" w:eastAsia="Calibri" w:cs="Calibri"/>
                <w:color w:val="FFFFFF"/>
                <w:lang w:val="en-GB" w:eastAsia="en-GB" w:bidi="en-GB"/>
              </w:rPr>
              <w:t xml:space="preserve">Additional requirements</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8" w:type="dxa"/>
          <w:bottom w:w="0" w:type="dxa"/>
          <w:right w:w="108" w:type="dxa"/>
        </w:tblCellMar>
      </w:tblPr>
      <w:tblGrid>
        <w:gridCol w:w="1271"/>
        <w:gridCol w:w="7746"/>
      </w:tblGrid>
      <w:tr>
        <w:tc>
          <w:tcPr>
            <w:tcW w:w="1271"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r>
              <w:rPr>
                <w:rFonts w:ascii="Calibri" w:hAnsi="Calibri" w:eastAsia="Calibri" w:cs="Calibri"/>
                <w:lang w:val="en-GB" w:eastAsia="en-GB" w:bidi="en-GB"/>
              </w:rPr>
              <w:t xml:space="preserve">Essential</w:t>
            </w:r>
          </w:p>
        </w:tc>
        <w:tc>
          <w:tcPr>
            <w:tcW w:w="7746" w:type="dxa"/>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This post is predominately situated in an office environment or on site, however occasional home working would be likely/optional when undertaking some more intense administrative or report preparation. Some travel between the two Zoo sites will be required. (1 day per week typically required)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Strong commitment to creating a culture that lives ZSL values and commitment to safeguarding, equality and diversity (collaborative, inspiring, inclusive, innovative, impactful, and ethical)</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lang w:val="en-GB" w:eastAsia="en-GB" w:bidi="en-GB"/>
              </w:rPr>
            </w:pPr>
            <w:r>
              <w:rPr>
                <w:lang w:val="en-GB" w:eastAsia="en-GB" w:bidi="en-GB"/>
              </w:rPr>
              <w:t xml:space="preserve">To comply with and promote Health and Safety policies and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hAnsi="Calibri" w:eastAsia="Calibri" w:cs="Calibri"/>
          <w:lang w:val="en-GB" w:eastAsia="en-GB" w:bidi="en-GB"/>
        </w:rPr>
      </w:pPr>
    </w:p>
    <w:sectPr>
      <w:headerReference w:type="default" r:id="rId00007"/>
      <w:footerReference w:type="default" r:id="rId00008"/>
      <w:headerReference w:type="first" r:id="rId00009"/>
      <w:footerReference w:type="first" r:id="rId00010"/>
      <w:type w:val="continuous"/>
      <w:pgSz w:w="11907" w:h="16840"/>
      <w:pgMar w:top="1440" w:right="1440" w:bottom="1440" w:left="1440" w:header="1134" w:footer="85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Tahoma">
    <w:panose1 w:val="020B0604030504040204"/>
    <w:charset w:val="00"/>
    <w:family w:val="swiss"/>
    <w:pitch w:val="variable"/>
    <w:sig w:usb0="E1002EFF" w:usb1="C000605B" w:usb2="00000029" w:usb3="00000000" w:csb0="200101FF" w:csb1="2028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Foot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3005"/>
      <w:gridCol w:w="3005"/>
      <w:gridCol w:w="3005"/>
    </w:tblGrid>
    <w:tr>
      <w:trPr>
        <w:trHeight w:val="300" w:hRule="atLeast"/>
      </w:trPr>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rPr>
              <w:lang w:val="en-GB" w:eastAsia="en-GB" w:bidi="en-GB"/>
            </w:rPr>
          </w:pPr>
        </w:p>
      </w:tc>
      <w:tc>
        <w:tcPr>
          <w:tcW w:w="3005" w:type="dxa"/>
          <w:shd w:val="clear" w:color="auto" w:fill="auto"/>
          <w:vAlign w:val="top"/>
        </w:tcPr>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jc w:val="right"/>
            <w:rPr>
              <w:lang w:val="en-GB" w:eastAsia="en-GB" w:bidi="en-GB"/>
            </w:rPr>
          </w:pPr>
        </w:p>
      </w:tc>
    </w:tr>
  </w:tbl>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026"/>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r>
      <w:drawing>
        <wp:anchor distT="0" distB="0" distL="114300" distR="114300" simplePos="0" relativeHeight="251659264" behindDoc="0" locked="0" layoutInCell="1" hidden="0" allowOverlap="1">
          <wp:simplePos x="0" y="0"/>
          <wp:positionH relativeFrom="column">
            <wp:posOffset>-665480</wp:posOffset>
          </wp:positionH>
          <wp:positionV relativeFrom="paragraph">
            <wp:posOffset>0</wp:posOffset>
          </wp:positionV>
          <wp:extent cx="1416685" cy="708025"/>
          <wp:wrapSquare wrapText="bothSides"/>
          <wp:docPr id="1" name="Picture 2"/>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416685" cy="708025"/>
                  </a:xfrm>
                  <a:prstGeom prst="rect">
                    <a:avLst/>
                  </a:prstGeom>
                </pic:spPr>
              </pic:pic>
            </a:graphicData>
          </a:graphic>
        </wp:anchor>
      </w:drawing>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320"/>
        <w:tab w:val="right" w:pos="8640"/>
      </w:tabs>
    </w:pPr>
    <w:rPr>
      <w:lang w:val="en-GB" w:eastAsia="en-GB" w:bidi="en-GB"/>
    </w:rPr>
  </w:style>
  <w:style w:type="paragraph" w:styleId="Footer">
    <w:name w:val="footer"/>
    <w:basedOn w:val="Normal"/>
    <w:next w:val="Footer"/>
    <w:qFormat/>
    <w:pPr>
      <w:tabs>
        <w:tab w:val="center" w:pos="4320"/>
        <w:tab w:val="right" w:pos="8640"/>
      </w:tabs>
    </w:pPr>
    <w:rPr>
      <w:lang w:val="en-GB" w:eastAsia="en-GB" w:bidi="en-GB"/>
    </w:rPr>
  </w:style>
  <w:style w:type="paragraph" w:styleId="Heading3">
    <w:name w:val="heading 3"/>
    <w:basedOn w:val="Normal"/>
    <w:next w:val="Normal"/>
    <w:qFormat/>
    <w:pPr>
      <w:keepNext/>
      <w:jc w:val="center"/>
      <w:outlineLvl w:val="2"/>
    </w:pPr>
    <w:rPr>
      <w:rFonts w:ascii="Arial" w:hAnsi="Arial" w:eastAsia="Arial" w:cs="Arial"/>
      <w:b/>
      <w:bCs/>
      <w:u w:val="single"/>
      <w:lang w:val="en-GB" w:eastAsia="en-GB" w:bidi="en-GB"/>
    </w:rPr>
  </w:style>
  <w:style w:type="paragraph" w:styleId="ListParagraph">
    <w:name w:val="List Paragraph"/>
    <w:basedOn w:val="Normal"/>
    <w:next w:val="ListParagraph"/>
    <w:qFormat/>
    <w:pPr>
      <w:spacing w:after="200" w:line="276" w:lineRule="auto"/>
      <w:ind w:left="720"/>
    </w:pPr>
    <w:rPr>
      <w:rFonts w:ascii="Calibri" w:hAnsi="Calibri" w:eastAsia="Calibri" w:cs="Calibri"/>
      <w:sz w:val="22"/>
      <w:szCs w:val="22"/>
      <w:lang w:val="en-GB" w:eastAsia="en-GB" w:bidi="en-GB"/>
    </w:rPr>
  </w:style>
  <w:style w:type="paragraph" w:styleId="NormalWeb">
    <w:name w:val="Normal (Web)"/>
    <w:basedOn w:val="Normal"/>
    <w:next w:val="NormalWeb"/>
    <w:qFormat/>
    <w:pPr/>
    <w:rPr>
      <w:lang w:val="en-GB" w:eastAsia="en-GB" w:bidi="en-GB"/>
    </w:rPr>
  </w:style>
  <w:style w:type="paragraph" w:styleId="Heading1">
    <w:name w:val="heading 1"/>
    <w:basedOn w:val="Normal"/>
    <w:next w:val="Normal"/>
    <w:qFormat/>
    <w:pPr>
      <w:keepNext/>
      <w:outlineLvl w:val="0"/>
    </w:pPr>
    <w:rPr>
      <w:rFonts w:ascii="Arial" w:hAnsi="Arial" w:eastAsia="Arial" w:cs="Arial"/>
      <w:u w:val="single"/>
      <w:lang w:val="en-GB" w:eastAsia="en-GB" w:bidi="en-GB"/>
    </w:rPr>
  </w:style>
  <w:style w:type="paragraph" w:styleId="Heading2">
    <w:name w:val="heading 2"/>
    <w:basedOn w:val="Normal"/>
    <w:next w:val="Normal"/>
    <w:qFormat/>
    <w:pPr>
      <w:keepNext/>
      <w:jc w:val="center"/>
      <w:outlineLvl w:val="1"/>
    </w:pPr>
    <w:rPr>
      <w:rFonts w:ascii="Arial" w:hAnsi="Arial" w:eastAsia="Arial" w:cs="Arial"/>
      <w:b/>
      <w:bCs/>
      <w:lang w:val="en-GB" w:eastAsia="en-GB" w:bidi="en-GB"/>
    </w:rPr>
  </w:style>
  <w:style w:type="paragraph" w:styleId="Heading4">
    <w:name w:val="heading 4"/>
    <w:basedOn w:val="Normal"/>
    <w:next w:val="Normal"/>
    <w:qFormat/>
    <w:pPr>
      <w:keepNext/>
      <w:outlineLvl w:val="3"/>
    </w:pPr>
    <w:rPr>
      <w:rFonts w:ascii="Arial" w:hAnsi="Arial" w:eastAsia="Arial" w:cs="Arial"/>
      <w:b/>
      <w:bCs/>
      <w:u w:val="single"/>
      <w:lang w:val="en-GB" w:eastAsia="en-GB" w:bidi="en-GB"/>
    </w:rPr>
  </w:style>
  <w:style w:type="paragraph" w:styleId="Heading5">
    <w:name w:val="heading 5"/>
    <w:basedOn w:val="Normal"/>
    <w:next w:val="Normal"/>
    <w:qFormat/>
    <w:pPr>
      <w:keepNext/>
      <w:outlineLvl w:val="4"/>
    </w:pPr>
    <w:rPr>
      <w:rFonts w:ascii="Arial" w:hAnsi="Arial" w:eastAsia="Arial" w:cs="Arial"/>
      <w:b/>
      <w:bCs/>
      <w:lang w:val="en-GB" w:eastAsia="en-GB" w:bidi="en-GB"/>
    </w:rPr>
  </w:style>
  <w:style w:type="paragraph" w:styleId="p12" w:customStyle="1">
    <w:name w:val="p12"/>
    <w:basedOn w:val="Normal"/>
    <w:next w:val="p12"/>
    <w:qFormat/>
    <w:pPr>
      <w:widowControl w:val="off"/>
      <w:spacing w:line="280" w:lineRule="atLeast"/>
      <w:ind w:left="720" w:hanging="720"/>
    </w:pPr>
    <w:rPr>
      <w:lang w:val="en-GB" w:eastAsia="en-GB" w:bidi="en-GB"/>
    </w:rPr>
  </w:style>
  <w:style w:type="paragraph" w:styleId="Medium Grid 1 - Accent 21" w:customStyle="1">
    <w:name w:val="Medium Grid 1 - Accent 21"/>
    <w:basedOn w:val="Normal"/>
    <w:next w:val="Medium Grid 1 - Accent 21"/>
    <w:qFormat/>
    <w:pPr>
      <w:ind w:left="720"/>
    </w:pPr>
    <w:rPr>
      <w:lang w:val="en-GB" w:eastAsia="en-GB" w:bidi="en-GB"/>
    </w:rPr>
  </w:style>
  <w:style w:type="paragraph" w:styleId="Colorful List - Accent 11" w:customStyle="1">
    <w:name w:val="Colorful List - Accent 11"/>
    <w:basedOn w:val="Normal"/>
    <w:next w:val="Colorful List - Accent 11"/>
    <w:qFormat/>
    <w:pPr>
      <w:ind w:left="720"/>
    </w:pPr>
    <w:rPr>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Reference">
    <w:name w:val="annotation reference"/>
    <w:qFormat/>
    <w:rPr>
      <w:sz w:val="16"/>
      <w:szCs w:val="16"/>
      <w:rtl w:val="off"/>
    </w:rPr>
  </w:style>
  <w:style w:type="character" w:styleId="Comment Text Char" w:customStyle="1">
    <w:name w:val="Comment Text Char"/>
    <w:qFormat/>
    <w:rPr>
      <w:rtl w:val="off"/>
      <w:lang w:val="en-GB" w:eastAsia="en-GB" w:bidi="en-GB"/>
    </w:rPr>
  </w:style>
  <w:style w:type="character" w:styleId="Comment Subject Char" w:customStyle="1">
    <w:name w:val="Comment Subject Char"/>
    <w:basedOn w:val="Comment Text Char"/>
    <w:qFormat/>
    <w:rPr>
      <w:b/>
      <w:bCs/>
      <w:lang w:val="en-GB" w:eastAsia="en-GB" w:bidi="en-GB"/>
    </w:rPr>
  </w:style>
  <w:style w:type="character" w:styleId="Hyperlink">
    <w:name w:val="Hyperlink"/>
    <w:qFormat/>
    <w:rPr>
      <w:color w:val="0000FF"/>
      <w:u w:val="single"/>
      <w:rtl w:val="off"/>
    </w:rPr>
  </w:style>
  <w:style w:type="character" w:styleId="UnresolvedMention">
    <w:name w:val="Unresolved Mention"/>
    <w:qFormat/>
    <w:rPr>
      <w:color w:val="605E5C"/>
      <w:shd w:val="clear" w:color="auto" w:fill="E1DFDD"/>
      <w:rtl w:val="off"/>
    </w:rPr>
  </w:style>
  <w:style w:type="character" w:styleId="Heading 4 Char" w:customStyle="1">
    <w:name w:val="Heading 4 Char"/>
    <w:qFormat/>
    <w:rPr>
      <w:rFonts w:ascii="Arial" w:hAnsi="Arial" w:eastAsia="Arial" w:cs="Arial"/>
      <w:b/>
      <w:bCs/>
      <w:sz w:val="24"/>
      <w:szCs w:val="24"/>
      <w:u w:val="single"/>
      <w:rtl w:val="off"/>
      <w:lang w:val="en-GB" w:eastAsia="en-GB" w:bidi="en-GB"/>
    </w:rPr>
  </w:style>
  <w:style w:type="character" w:styleId="Balloon Text Char" w:customStyle="1">
    <w:name w:val="Balloon Text Char"/>
    <w:qFormat/>
    <w:rPr>
      <w:rFonts w:ascii="Tahoma" w:hAnsi="Tahoma" w:eastAsia="Tahoma" w:cs="Tahoma"/>
      <w:sz w:val="16"/>
      <w:szCs w:val="16"/>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9" Type="http://schemas.openxmlformats.org/officeDocument/2006/relationships/header" Target="header0001_first.xml"/>
	<Relationship Id="rId00010" Type="http://schemas.openxmlformats.org/officeDocument/2006/relationships/footer" Target="footer0001_first.xml"/>
	<Relationship Id="rId00011" Type="http://schemas.openxmlformats.org/officeDocument/2006/relationships/numbering" Target="numbering.xml"/>
	<Relationship Id="rId00012" Type="http://schemas.openxmlformats.org/officeDocument/2006/relationships/fontTable" Target="fontTable.xml"/>
	<Relationship Id="rId00013"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and Guidance</dc:title>
  <dc:creator>Charlotte Cowan</dc:creator>
  <dcterms:created xsi:type="dcterms:W3CDTF">2026-08-11T10:40:00Z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Team">
    <vt:lpwstr>5;#HR|12cf6d2f-e5d5-4afc-acb4-2881efab8e57</vt:lpwstr>
  </property>
  <property fmtid="{D5CDD505-2E9C-101B-9397-08002B2CF9AE}" pid="4" name="Document language">
    <vt:lpwstr>1;#English|8e6f1ede-5386-4ba2-be58-056b572f25ee</vt:lpwstr>
  </property>
  <property fmtid="{D5CDD505-2E9C-101B-9397-08002B2CF9AE}" pid="5" name="ContentTypeId">
    <vt:lpwstr>0x010100D06BB0C5BAF8E54A940916A91E5CB2630022390AFFB7976C4F82812D3ABB053505</vt:lpwstr>
  </property>
</Properties>
</file>